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117</w:t>
      </w:r>
    </w:p>
    <w:p>
      <w:r>
        <w:t>Bundesgericht (BGE), 1994-10-21, DE</w:t>
      </w:r>
    </w:p>
    <w:p>
      <w:r>
        <w:rPr>
          <w:b/>
        </w:rPr>
        <w:t xml:space="preserve">Quelle: </w:t>
      </w:r>
      <w:r>
        <w:t>https://mcp.opencaselaw.ch/entscheid/bge_120 III 117</w:t>
      </w:r>
    </w:p>
    <w:p>
      <w:r>
        <w:t>FR: ATF 120 III 117</w:t>
      </w:r>
    </w:p>
    <w:p>
      <w:r>
        <w:t>IT: DTF 120 III 117</w:t>
      </w:r>
    </w:p>
    <w:p>
      <w:pPr>
        <w:pStyle w:val="Heading2"/>
      </w:pPr>
      <w:r>
        <w:t>Regeste</w:t>
      </w:r>
    </w:p>
    <w:p>
      <w:r>
        <w:t>Regeste Zustellung des Zahlungsbefehls; Art. 72 SchKG. Die Bescheinigung, an welchem Tage und an wen die Zustellung des Zahlungsbefehls erfolgt ist, muss jener Betreibungsbeamte oder Angestellte des Betreibungsamtes ausstellen, der den Zahlungsbefehl tatsächlich übergeben hat.</w:t>
      </w:r>
    </w:p>
    <w:p>
      <w:pPr>
        <w:pStyle w:val="Heading2"/>
      </w:pPr>
      <w:r>
        <w:t>Erwägungen</w:t>
      </w:r>
    </w:p>
    <w:p>
      <w:r>
        <w:rPr>
          <w:b/>
        </w:rPr>
        <w:t>E. 2</w:t>
      </w:r>
    </w:p>
    <w:p>
      <w:r>
        <w:t>Im Anfechtungsfall trägt in erster Linie das Betreibungsamt die Beweislast für die ordnungsgemässe Zustellung von Betreibungsurkunden. Dazu dient ihm namentlich die gemäss Art. 72 Abs. 2 SchKG vorgeschriebene Bescheinigung des Zustellungsbeamten, an welchem Tage und an wen die Zustellung erfolgt ist; als öffentliche Urkunde im Sinne von Art. 9 ZGB kommt der Bescheinigung, Gegenbeweis vorbehalten, für ihren Inhalt volle Beweiskraft zu ( BGE 117 III 10 E. 5c, S. 13, mit Hinweisen auf Lehre und Rechtsprechung). a) Der Zahlungsbefehl, von dem im angefochtenen Entscheid gesagt wird, er trage einen Zustellungsvermerk vom 30. September 1993, liegt nicht bei den dem Bundesgericht gemäss Art. 80 OG eingesandten Akten. b) Ganz offensichtlich ist im vorliegenden Fall der Vorschrift des Art. 72 Abs. 2 SchKG nicht nachgelebt worden, wonach der Überbringer auf beiden Ausfertigungen des Zahlungsbefehls zu bescheinigen hat, an welchem Tage und an wen die Zustellung erfolgt ist. Diese Bescheinigung hat jener Betreibungsbeamte oder Angestellte des Betreibungsamtes auszustellen, der den Zahlungsbefehl übergeben hat. Unstatthaft aber ist es, dass der Betreibungsbeamte - wie es nach der Darstellung im angefochtenen Entscheid geschehen ist - zwar die Zustellung bescheinigt, aber diese in der Folge Kanzleiangestellten der Gemeindeverwaltung überlässt. Solches Vorgehen übersieht die Bedeutung, welche der Zustellung des Zahlungsbefehls insofern zukommt, als dem Schuldner Gelegenheit zu geben ist, auf der Stelle und ohne Begründung Rechtsvorschlag zu erheben. Aus diesem Grund hat die Rechtsprechung es ebenso untersagt, den Zahlungsbefehl in den Briefkasten des Schuldners zu legen, wie sie es als unzulässig bezeichnet hat, dass eine den Zahlungsbefehl betreffende Abholungseinladung in das Postfach des Schuldners gelegt wird ( BGE 117 III 7 E. 3b, S. 9; BGE 116 III 8 E. 1a, S. 9f.). Im vorliegenden Fall macht denn auch der Rekurrent geltend, er habe keine Gelegenheit zur Erhebung des Rechtsvorschlags gehabt. Schliesslich illustriert der hier zu beurteilende Fall auch, dass das Betreibungsamt in Beweisschwierigkeiten gerät, wenn nicht jener Beamte BGE 120 III 117 S. 119 oder Angestellte des Betreibungsamtes die Zustellung bescheinigt, der den Zahlungsbefehl tatsächlich überbracht hat. c) Die fehlerhafte Zustellung des Zahlungsbefehls ist eine nichtige Betreibungshandlung, die von Amtes wegen jederzeit festgestellt werden kann und muss ( BGE 117 III 7 E. 3c,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